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C99" w14:textId="22454C65" w:rsidR="000C3430" w:rsidRPr="00CB6F41" w:rsidRDefault="00000000" w:rsidP="008C16D3">
      <w:pPr>
        <w:pStyle w:val="Heading5"/>
        <w:spacing w:before="0" w:after="0" w:line="240" w:lineRule="auto"/>
        <w:rPr>
          <w:rFonts w:ascii="Verdana" w:eastAsia="Verdana" w:hAnsi="Verdana" w:cs="Verdana"/>
          <w:b/>
          <w:color w:val="000000"/>
        </w:rPr>
      </w:pPr>
      <w:bookmarkStart w:id="0" w:name="_6bi8fkg732e6" w:colFirst="0" w:colLast="0"/>
      <w:bookmarkEnd w:id="0"/>
      <w:r w:rsidRPr="00CB6F41">
        <w:rPr>
          <w:rFonts w:ascii="Verdana" w:eastAsia="Verdana" w:hAnsi="Verdana" w:cs="Verdana"/>
          <w:b/>
          <w:color w:val="000000"/>
        </w:rPr>
        <w:t>FORM D</w:t>
      </w:r>
      <w:r w:rsidR="00CB6F41" w:rsidRPr="00CB6F41">
        <w:rPr>
          <w:rFonts w:ascii="Verdana" w:eastAsia="Verdana" w:hAnsi="Verdana" w:cs="Verdana"/>
          <w:b/>
          <w:color w:val="000000"/>
        </w:rPr>
        <w:t>. Page 1 of 2</w:t>
      </w:r>
    </w:p>
    <w:p w14:paraId="64484B47" w14:textId="1A51DBE7" w:rsidR="00EF68FA" w:rsidRPr="00EF68FA" w:rsidRDefault="00000000" w:rsidP="00EF68FA">
      <w:pPr>
        <w:pStyle w:val="Heading5"/>
        <w:jc w:val="center"/>
        <w:rPr>
          <w:rFonts w:ascii="Verdana" w:eastAsia="Verdana" w:hAnsi="Verdana" w:cs="Verdana"/>
          <w:b/>
          <w:color w:val="000000"/>
        </w:rPr>
      </w:pPr>
      <w:bookmarkStart w:id="1" w:name="_8sa0lywj26ll" w:colFirst="0" w:colLast="0"/>
      <w:bookmarkEnd w:id="1"/>
      <w:r w:rsidRPr="00CB6F41">
        <w:rPr>
          <w:rFonts w:ascii="Verdana" w:eastAsia="Verdana" w:hAnsi="Verdana" w:cs="Verdana"/>
          <w:b/>
          <w:color w:val="000000"/>
        </w:rPr>
        <w:t xml:space="preserve">STATEMENT OF COMPLIANCE by Owner &amp; Tenant(s) in lieu of the Deed of Covenant required by §4 (xvii) / (xviii) of your </w:t>
      </w:r>
      <w:r w:rsidR="00594FB1" w:rsidRPr="00CB6F41">
        <w:rPr>
          <w:rFonts w:ascii="Verdana" w:eastAsia="Verdana" w:hAnsi="Verdana" w:cs="Verdana"/>
          <w:b/>
          <w:color w:val="000000"/>
        </w:rPr>
        <w:t>Lease.</w:t>
      </w:r>
      <w:r w:rsidRPr="00CB6F41">
        <w:rPr>
          <w:rFonts w:ascii="Verdana" w:eastAsia="Verdana" w:hAnsi="Verdana" w:cs="Verdana"/>
          <w:b/>
          <w:color w:val="000000"/>
        </w:rPr>
        <w:t xml:space="preserve"> </w:t>
      </w:r>
    </w:p>
    <w:p w14:paraId="6B666F34" w14:textId="36B058DA" w:rsidR="008C16D3" w:rsidRDefault="00CB6F41" w:rsidP="00CB6F41">
      <w:pPr>
        <w:rPr>
          <w:rFonts w:ascii="Verdana" w:eastAsia="Verdana" w:hAnsi="Verdana" w:cs="Verdana"/>
          <w:b/>
          <w:bCs/>
        </w:rPr>
      </w:pPr>
      <w:r w:rsidRPr="00CB6F41">
        <w:rPr>
          <w:rFonts w:ascii="Verdana" w:eastAsia="Verdana" w:hAnsi="Verdana" w:cs="Verdana"/>
          <w:b/>
          <w:bCs/>
        </w:rPr>
        <w:t>Date ……………</w:t>
      </w:r>
      <w:r w:rsidR="00EF68FA">
        <w:rPr>
          <w:rFonts w:ascii="Verdana" w:eastAsia="Verdana" w:hAnsi="Verdana" w:cs="Verdana"/>
          <w:b/>
          <w:bCs/>
        </w:rPr>
        <w:t>…</w:t>
      </w:r>
      <w:r w:rsidRPr="00CB6F41">
        <w:rPr>
          <w:rFonts w:ascii="Verdana" w:eastAsia="Verdana" w:hAnsi="Verdana" w:cs="Verdana"/>
          <w:b/>
          <w:bCs/>
        </w:rPr>
        <w:tab/>
      </w:r>
      <w:r w:rsidR="00EF68FA">
        <w:rPr>
          <w:rFonts w:ascii="Verdana" w:eastAsia="Verdana" w:hAnsi="Verdana" w:cs="Verdana"/>
          <w:b/>
          <w:bCs/>
        </w:rPr>
        <w:t xml:space="preserve">   </w:t>
      </w:r>
      <w:r w:rsidRPr="00CB6F41">
        <w:rPr>
          <w:rFonts w:ascii="Verdana" w:eastAsia="Verdana" w:hAnsi="Verdana" w:cs="Verdana"/>
          <w:b/>
          <w:bCs/>
        </w:rPr>
        <w:t xml:space="preserve">We, the undersigned, understand and agree that in </w:t>
      </w:r>
    </w:p>
    <w:p w14:paraId="4A546528" w14:textId="77777777" w:rsidR="008C16D3" w:rsidRDefault="008C16D3" w:rsidP="00CB6F41">
      <w:pPr>
        <w:rPr>
          <w:rFonts w:ascii="Verdana" w:eastAsia="Verdana" w:hAnsi="Verdana" w:cs="Verdana"/>
          <w:b/>
          <w:bCs/>
        </w:rPr>
      </w:pPr>
    </w:p>
    <w:p w14:paraId="02F6D39F" w14:textId="53C5121B" w:rsidR="00372038" w:rsidRDefault="00CB6F41" w:rsidP="00CB6F41">
      <w:pPr>
        <w:rPr>
          <w:rFonts w:ascii="Verdana" w:eastAsia="Verdana" w:hAnsi="Verdana" w:cs="Verdana"/>
          <w:b/>
          <w:bCs/>
        </w:rPr>
      </w:pPr>
      <w:r w:rsidRPr="00CB6F41">
        <w:rPr>
          <w:rFonts w:ascii="Verdana" w:eastAsia="Verdana" w:hAnsi="Verdana" w:cs="Verdana"/>
          <w:b/>
          <w:bCs/>
        </w:rPr>
        <w:t>respect of:</w:t>
      </w:r>
      <w:r w:rsidR="008C16D3">
        <w:rPr>
          <w:rFonts w:ascii="Verdana" w:eastAsia="Verdana" w:hAnsi="Verdana" w:cs="Verdana"/>
          <w:b/>
          <w:bCs/>
        </w:rPr>
        <w:t xml:space="preserve"> </w:t>
      </w:r>
      <w:r w:rsidRPr="00CB6F41">
        <w:rPr>
          <w:rFonts w:ascii="Verdana" w:eastAsia="Verdana" w:hAnsi="Verdana" w:cs="Verdana"/>
          <w:b/>
          <w:bCs/>
        </w:rPr>
        <w:t>Flat No…………</w:t>
      </w:r>
      <w:r w:rsidRPr="00CB6F41">
        <w:rPr>
          <w:rFonts w:ascii="Verdana" w:eastAsia="Verdana" w:hAnsi="Verdana" w:cs="Verdana"/>
          <w:b/>
          <w:bCs/>
        </w:rPr>
        <w:tab/>
        <w:t xml:space="preserve">Garage / Parking Bay No………………. </w:t>
      </w:r>
    </w:p>
    <w:p w14:paraId="51E86A05" w14:textId="77777777" w:rsidR="00372038" w:rsidRDefault="00372038" w:rsidP="00CB6F41">
      <w:pPr>
        <w:rPr>
          <w:rFonts w:ascii="Verdana" w:eastAsia="Verdana" w:hAnsi="Verdana" w:cs="Verdana"/>
          <w:b/>
          <w:bCs/>
        </w:rPr>
      </w:pPr>
    </w:p>
    <w:p w14:paraId="5F4E0228" w14:textId="365765C8" w:rsidR="00CB6F41" w:rsidRPr="00CB6F41" w:rsidRDefault="00372038" w:rsidP="00CB6F41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W</w:t>
      </w:r>
      <w:r w:rsidR="00CB6F41" w:rsidRPr="00CB6F41">
        <w:rPr>
          <w:rFonts w:ascii="Verdana" w:eastAsia="Verdana" w:hAnsi="Verdana" w:cs="Verdana"/>
          <w:b/>
          <w:bCs/>
        </w:rPr>
        <w:t>e shall not: -</w:t>
      </w:r>
    </w:p>
    <w:p w14:paraId="309972EA" w14:textId="77777777" w:rsidR="000C3430" w:rsidRPr="00CB6F41" w:rsidRDefault="000C3430">
      <w:pPr>
        <w:rPr>
          <w:rFonts w:ascii="Verdana" w:eastAsia="Verdana" w:hAnsi="Verdana" w:cs="Verdana"/>
        </w:rPr>
      </w:pPr>
    </w:p>
    <w:p w14:paraId="09DA3C0D" w14:textId="7A0D59D0" w:rsidR="000C3430" w:rsidRPr="00CB6F41" w:rsidRDefault="00000000">
      <w:pPr>
        <w:rPr>
          <w:rFonts w:ascii="Verdana" w:eastAsia="Verdana" w:hAnsi="Verdana" w:cs="Verdana"/>
          <w:b/>
          <w:u w:val="single"/>
        </w:rPr>
      </w:pPr>
      <w:r w:rsidRPr="00CB6F41">
        <w:rPr>
          <w:rFonts w:ascii="Verdana" w:eastAsia="Verdana" w:hAnsi="Verdana" w:cs="Verdana"/>
          <w:b/>
          <w:u w:val="single"/>
        </w:rPr>
        <w:t>Alterations to the property</w:t>
      </w:r>
      <w:r w:rsidR="00EF0D46">
        <w:rPr>
          <w:rFonts w:ascii="Verdana" w:eastAsia="Verdana" w:hAnsi="Verdana" w:cs="Verdana"/>
          <w:b/>
          <w:u w:val="single"/>
        </w:rPr>
        <w:t>.</w:t>
      </w:r>
    </w:p>
    <w:p w14:paraId="6032D6D8" w14:textId="77777777" w:rsidR="00CB6F41" w:rsidRPr="00CB6F41" w:rsidRDefault="00CB6F41">
      <w:pPr>
        <w:rPr>
          <w:rFonts w:ascii="Verdana" w:eastAsia="Verdana" w:hAnsi="Verdana" w:cs="Verdana"/>
          <w:b/>
          <w:u w:val="single"/>
        </w:rPr>
      </w:pPr>
    </w:p>
    <w:p w14:paraId="143E6550" w14:textId="77777777" w:rsidR="000C3430" w:rsidRPr="00CB6F41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Make any changes to the external appearance of the property as to do so will contravene the terms of the lease. Please contact a director for advice for new windows or doors etc.</w:t>
      </w:r>
    </w:p>
    <w:p w14:paraId="38C17672" w14:textId="38457DF8" w:rsidR="000C3430" w:rsidRPr="00CB6F41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 xml:space="preserve">Make any structural alteration nor do works to </w:t>
      </w:r>
      <w:r w:rsidR="00372038">
        <w:rPr>
          <w:rFonts w:ascii="Verdana" w:eastAsia="Verdana" w:hAnsi="Verdana" w:cs="Verdana"/>
        </w:rPr>
        <w:t>the</w:t>
      </w:r>
      <w:r w:rsidRPr="00CB6F41">
        <w:rPr>
          <w:rFonts w:ascii="Verdana" w:eastAsia="Verdana" w:hAnsi="Verdana" w:cs="Verdana"/>
        </w:rPr>
        <w:t xml:space="preserve"> property which shall or could be an annoyance to any other owner or occupier.</w:t>
      </w:r>
    </w:p>
    <w:p w14:paraId="70E9B8B8" w14:textId="77777777" w:rsidR="000C3430" w:rsidRPr="00CB6F41" w:rsidRDefault="00000000">
      <w:pPr>
        <w:numPr>
          <w:ilvl w:val="0"/>
          <w:numId w:val="3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Erect any television aerial, other appliance for the reception of television or radio or other signals on the exterior of the premises.</w:t>
      </w:r>
    </w:p>
    <w:p w14:paraId="51606BB8" w14:textId="77777777" w:rsidR="000C3430" w:rsidRPr="00CB6F41" w:rsidRDefault="000C3430">
      <w:pPr>
        <w:rPr>
          <w:rFonts w:ascii="Verdana" w:eastAsia="Verdana" w:hAnsi="Verdana" w:cs="Verdana"/>
        </w:rPr>
      </w:pPr>
    </w:p>
    <w:p w14:paraId="7B115BDD" w14:textId="57AE793F" w:rsidR="000C3430" w:rsidRPr="00CB6F41" w:rsidRDefault="00EF0D46">
      <w:pPr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Parking Entrance Gates &amp; Security.</w:t>
      </w:r>
    </w:p>
    <w:p w14:paraId="6F21F3CD" w14:textId="77777777" w:rsidR="00CB6F41" w:rsidRPr="00CB6F41" w:rsidRDefault="00CB6F41">
      <w:pPr>
        <w:rPr>
          <w:rFonts w:ascii="Verdana" w:eastAsia="Verdana" w:hAnsi="Verdana" w:cs="Verdana"/>
          <w:b/>
          <w:u w:val="single"/>
        </w:rPr>
      </w:pPr>
    </w:p>
    <w:p w14:paraId="63FE2E4F" w14:textId="77777777" w:rsidR="000C3430" w:rsidRPr="00CB6F41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Park in the Visitors parking area or obstruct access to the central areas: these MUST be kept clear for ambulances, etc. Parking is NOT allowed anywhere other than in your designated space or garage.</w:t>
      </w:r>
    </w:p>
    <w:p w14:paraId="294384D0" w14:textId="77777777" w:rsidR="000C3430" w:rsidRPr="00CB6F41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Park (unless for the purpose of loading or unloading) or play games in the central areas - these are pedestrian areas and there are several elderly residents who are vulnerable.</w:t>
      </w:r>
    </w:p>
    <w:p w14:paraId="1E4AD98F" w14:textId="405FD9BB" w:rsidR="000C3430" w:rsidRPr="00CB6F41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Allow visitors to park without</w:t>
      </w:r>
      <w:r w:rsidR="00594FB1" w:rsidRPr="00CB6F41">
        <w:rPr>
          <w:rFonts w:ascii="Verdana" w:eastAsia="Verdana" w:hAnsi="Verdana" w:cs="Verdana"/>
        </w:rPr>
        <w:t xml:space="preserve"> displaying a visitor’s permit</w:t>
      </w:r>
      <w:r w:rsidRPr="00CB6F41">
        <w:rPr>
          <w:rFonts w:ascii="Verdana" w:eastAsia="Verdana" w:hAnsi="Verdana" w:cs="Verdana"/>
        </w:rPr>
        <w:t>.</w:t>
      </w:r>
    </w:p>
    <w:p w14:paraId="38890D0E" w14:textId="4CA56CC6" w:rsidR="000C3430" w:rsidRPr="00CB6F41" w:rsidRDefault="00000000">
      <w:pPr>
        <w:numPr>
          <w:ilvl w:val="0"/>
          <w:numId w:val="4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 xml:space="preserve">Rent the parking space or garage to anyone outside of the Square or allow a visitor’s permit to be used by someone not visiting </w:t>
      </w:r>
      <w:r w:rsidR="00372038">
        <w:rPr>
          <w:rFonts w:ascii="Verdana" w:eastAsia="Verdana" w:hAnsi="Verdana" w:cs="Verdana"/>
        </w:rPr>
        <w:t>the</w:t>
      </w:r>
      <w:r w:rsidRPr="00CB6F41">
        <w:rPr>
          <w:rFonts w:ascii="Verdana" w:eastAsia="Verdana" w:hAnsi="Verdana" w:cs="Verdana"/>
        </w:rPr>
        <w:t xml:space="preserve"> home i.e., a friend who works locally using it as a parking facility.</w:t>
      </w:r>
    </w:p>
    <w:p w14:paraId="73E1DAD6" w14:textId="7AD97318" w:rsidR="00EF0D46" w:rsidRPr="00EF0D46" w:rsidRDefault="00000000" w:rsidP="00EF0D46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EF0D46">
        <w:rPr>
          <w:rFonts w:ascii="Verdana" w:eastAsia="Verdana" w:hAnsi="Verdana" w:cs="Verdana"/>
        </w:rPr>
        <w:t>Use the Vehicle Gate to walk in and out of the Square</w:t>
      </w:r>
      <w:r w:rsidR="00372038" w:rsidRPr="00EF0D46">
        <w:rPr>
          <w:rFonts w:ascii="Verdana" w:eastAsia="Verdana" w:hAnsi="Verdana" w:cs="Verdana"/>
        </w:rPr>
        <w:t>. (T</w:t>
      </w:r>
      <w:r w:rsidRPr="00EF0D46">
        <w:rPr>
          <w:rFonts w:ascii="Verdana" w:eastAsia="Verdana" w:hAnsi="Verdana" w:cs="Verdana"/>
        </w:rPr>
        <w:t>he gate will remain open for a longer period</w:t>
      </w:r>
      <w:r w:rsidR="00372038" w:rsidRPr="00EF0D46">
        <w:rPr>
          <w:rFonts w:ascii="Verdana" w:eastAsia="Verdana" w:hAnsi="Verdana" w:cs="Verdana"/>
        </w:rPr>
        <w:t>).</w:t>
      </w:r>
      <w:r w:rsidR="00EF0D46">
        <w:rPr>
          <w:rFonts w:ascii="Verdana" w:eastAsia="Verdana" w:hAnsi="Verdana" w:cs="Verdana"/>
        </w:rPr>
        <w:t xml:space="preserve"> </w:t>
      </w:r>
      <w:r w:rsidR="00EF0D46" w:rsidRPr="00EF0D46">
        <w:rPr>
          <w:rFonts w:ascii="Verdana" w:eastAsia="Verdana" w:hAnsi="Verdana" w:cs="Verdana"/>
        </w:rPr>
        <w:t>If its left open longer the security of the square will be compromised. It also damages the sensor.</w:t>
      </w:r>
    </w:p>
    <w:p w14:paraId="6AB06C6F" w14:textId="77777777" w:rsidR="000C3430" w:rsidRPr="00CB6F41" w:rsidRDefault="000C3430">
      <w:pPr>
        <w:ind w:left="720"/>
        <w:rPr>
          <w:rFonts w:ascii="Verdana" w:eastAsia="Verdana" w:hAnsi="Verdana" w:cs="Verdana"/>
        </w:rPr>
      </w:pPr>
    </w:p>
    <w:p w14:paraId="0D3CD10B" w14:textId="33EEEB96" w:rsidR="000C3430" w:rsidRPr="00CB6F41" w:rsidRDefault="00EF0D46">
      <w:pPr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Disposal of large household items.</w:t>
      </w:r>
    </w:p>
    <w:p w14:paraId="1653426D" w14:textId="77777777" w:rsidR="00CB6F41" w:rsidRPr="00CB6F41" w:rsidRDefault="00CB6F41">
      <w:pPr>
        <w:rPr>
          <w:rFonts w:ascii="Verdana" w:eastAsia="Verdana" w:hAnsi="Verdana" w:cs="Verdana"/>
          <w:b/>
          <w:u w:val="single"/>
        </w:rPr>
      </w:pPr>
    </w:p>
    <w:p w14:paraId="41233D75" w14:textId="77777777" w:rsidR="008C16D3" w:rsidRDefault="00000000" w:rsidP="002A04AA">
      <w:pPr>
        <w:numPr>
          <w:ilvl w:val="0"/>
          <w:numId w:val="1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Dump bulky items for disposal anywhere in the grounds or in the stairwells/bin sheds of flats 1-36 &amp; 61-84</w:t>
      </w:r>
      <w:r w:rsidR="00372038">
        <w:rPr>
          <w:rFonts w:ascii="Verdana" w:eastAsia="Verdana" w:hAnsi="Verdana" w:cs="Verdana"/>
        </w:rPr>
        <w:t>.</w:t>
      </w:r>
      <w:r w:rsidRPr="00CB6F41">
        <w:rPr>
          <w:rFonts w:ascii="Verdana" w:eastAsia="Verdana" w:hAnsi="Verdana" w:cs="Verdana"/>
        </w:rPr>
        <w:t xml:space="preserve"> </w:t>
      </w:r>
      <w:r w:rsidR="00372038">
        <w:rPr>
          <w:rFonts w:ascii="Verdana" w:eastAsia="Verdana" w:hAnsi="Verdana" w:cs="Verdana"/>
        </w:rPr>
        <w:t>(</w:t>
      </w:r>
      <w:hyperlink r:id="rId7">
        <w:r w:rsidRPr="00372038">
          <w:rPr>
            <w:rFonts w:ascii="Verdana" w:eastAsia="Verdana" w:hAnsi="Verdana" w:cs="Verdana"/>
          </w:rPr>
          <w:t>Tower Hamlets provide a collection service</w:t>
        </w:r>
      </w:hyperlink>
      <w:r w:rsidR="00EF0D46">
        <w:rPr>
          <w:rFonts w:ascii="Verdana" w:eastAsia="Verdana" w:hAnsi="Verdana" w:cs="Verdana"/>
        </w:rPr>
        <w:t xml:space="preserve">. </w:t>
      </w:r>
      <w:r w:rsidRPr="00CB6F41">
        <w:rPr>
          <w:rFonts w:ascii="Verdana" w:eastAsia="Verdana" w:hAnsi="Verdana" w:cs="Verdana"/>
        </w:rPr>
        <w:t>They will usually ask you to place such items outside of the vehicle entrance to the square on the public highway</w:t>
      </w:r>
      <w:r w:rsidR="00372038">
        <w:rPr>
          <w:rFonts w:ascii="Verdana" w:eastAsia="Verdana" w:hAnsi="Verdana" w:cs="Verdana"/>
        </w:rPr>
        <w:t>)</w:t>
      </w:r>
      <w:r w:rsidRPr="00CB6F41">
        <w:rPr>
          <w:rFonts w:ascii="Verdana" w:eastAsia="Verdana" w:hAnsi="Verdana" w:cs="Verdana"/>
        </w:rPr>
        <w:t>. There are recycling containers in the bin sheds (only for Flats 1-36 &amp; 61-84) and two</w:t>
      </w:r>
    </w:p>
    <w:p w14:paraId="46FFDFD2" w14:textId="44E5DB84" w:rsidR="00CB6F41" w:rsidRPr="002A04AA" w:rsidRDefault="00000000" w:rsidP="008C16D3">
      <w:pPr>
        <w:ind w:left="720"/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(only for flats 37-60) in the small garage area. PLEASE USE THEM but only for recycling</w:t>
      </w:r>
    </w:p>
    <w:p w14:paraId="14F7CF23" w14:textId="449AEF71" w:rsidR="00CB6F41" w:rsidRPr="002A04AA" w:rsidRDefault="00CB6F41">
      <w:pPr>
        <w:rPr>
          <w:rFonts w:ascii="Verdana" w:eastAsia="Verdana" w:hAnsi="Verdana" w:cs="Verdana"/>
          <w:b/>
        </w:rPr>
      </w:pPr>
      <w:r w:rsidRPr="002A04AA">
        <w:rPr>
          <w:rFonts w:ascii="Verdana" w:eastAsia="Verdana" w:hAnsi="Verdana" w:cs="Verdana"/>
          <w:b/>
        </w:rPr>
        <w:lastRenderedPageBreak/>
        <w:t>Form D Page 2 of 2</w:t>
      </w:r>
    </w:p>
    <w:p w14:paraId="70989935" w14:textId="77777777" w:rsidR="00CB6F41" w:rsidRPr="002A04AA" w:rsidRDefault="00CB6F41">
      <w:pPr>
        <w:rPr>
          <w:rFonts w:ascii="Verdana" w:eastAsia="Verdana" w:hAnsi="Verdana" w:cs="Verdana"/>
          <w:b/>
        </w:rPr>
      </w:pPr>
    </w:p>
    <w:p w14:paraId="11D3A7D1" w14:textId="613A4F0F" w:rsidR="000C3430" w:rsidRDefault="00000000">
      <w:pPr>
        <w:rPr>
          <w:rFonts w:ascii="Verdana" w:eastAsia="Verdana" w:hAnsi="Verdana" w:cs="Verdana"/>
          <w:b/>
          <w:u w:val="single"/>
        </w:rPr>
      </w:pPr>
      <w:r w:rsidRPr="00CB6F41">
        <w:rPr>
          <w:rFonts w:ascii="Verdana" w:eastAsia="Verdana" w:hAnsi="Verdana" w:cs="Verdana"/>
          <w:b/>
          <w:u w:val="single"/>
        </w:rPr>
        <w:t>General</w:t>
      </w:r>
    </w:p>
    <w:p w14:paraId="378F2A2A" w14:textId="77777777" w:rsidR="002A04AA" w:rsidRPr="00CB6F41" w:rsidRDefault="002A04AA">
      <w:pPr>
        <w:rPr>
          <w:rFonts w:ascii="Verdana" w:eastAsia="Verdana" w:hAnsi="Verdana" w:cs="Verdana"/>
          <w:b/>
          <w:u w:val="single"/>
        </w:rPr>
      </w:pPr>
    </w:p>
    <w:p w14:paraId="7FD9BD5C" w14:textId="66F2D32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 xml:space="preserve">Sublet or license occupation of the property or part of </w:t>
      </w:r>
      <w:r w:rsidR="00594FB1" w:rsidRPr="00CB6F41">
        <w:rPr>
          <w:rFonts w:ascii="Verdana" w:eastAsia="Verdana" w:hAnsi="Verdana" w:cs="Verdana"/>
        </w:rPr>
        <w:t>it.</w:t>
      </w:r>
    </w:p>
    <w:p w14:paraId="5F427AB7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Allow occupation to anyone not notified to EML.</w:t>
      </w:r>
    </w:p>
    <w:p w14:paraId="146AA7E8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Display or hang washing out, from or on the windows or in the communal garden.</w:t>
      </w:r>
    </w:p>
    <w:p w14:paraId="5AB8388F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Put stickers leaflets etc at the windows.</w:t>
      </w:r>
    </w:p>
    <w:p w14:paraId="685EB883" w14:textId="1D34ABAB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 xml:space="preserve">Pick or damage flowers and </w:t>
      </w:r>
      <w:r w:rsidR="00594FB1" w:rsidRPr="00CB6F41">
        <w:rPr>
          <w:rFonts w:ascii="Verdana" w:eastAsia="Verdana" w:hAnsi="Verdana" w:cs="Verdana"/>
        </w:rPr>
        <w:t>plants.</w:t>
      </w:r>
    </w:p>
    <w:p w14:paraId="14D96F61" w14:textId="0FB41FD5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 xml:space="preserve">Cause annoyance to other residents by inconsiderate behaviour: </w:t>
      </w:r>
      <w:r w:rsidR="00594FB1" w:rsidRPr="00CB6F41">
        <w:rPr>
          <w:rFonts w:ascii="Verdana" w:eastAsia="Verdana" w:hAnsi="Verdana" w:cs="Verdana"/>
        </w:rPr>
        <w:t>e.g.,</w:t>
      </w:r>
      <w:r w:rsidRPr="00CB6F41">
        <w:rPr>
          <w:rFonts w:ascii="Verdana" w:eastAsia="Verdana" w:hAnsi="Verdana" w:cs="Verdana"/>
        </w:rPr>
        <w:t xml:space="preserve"> playing loud music</w:t>
      </w:r>
      <w:r w:rsidR="00EF68FA">
        <w:rPr>
          <w:rFonts w:ascii="Verdana" w:eastAsia="Verdana" w:hAnsi="Verdana" w:cs="Verdana"/>
        </w:rPr>
        <w:t>,</w:t>
      </w:r>
      <w:r w:rsidRPr="00CB6F41">
        <w:rPr>
          <w:rFonts w:ascii="Verdana" w:eastAsia="Verdana" w:hAnsi="Verdana" w:cs="Verdana"/>
        </w:rPr>
        <w:t xml:space="preserve"> or having the TV</w:t>
      </w:r>
      <w:r w:rsidR="00EF68FA">
        <w:rPr>
          <w:rFonts w:ascii="Verdana" w:eastAsia="Verdana" w:hAnsi="Verdana" w:cs="Verdana"/>
        </w:rPr>
        <w:t xml:space="preserve">/RADIO </w:t>
      </w:r>
      <w:r w:rsidRPr="00CB6F41">
        <w:rPr>
          <w:rFonts w:ascii="Verdana" w:eastAsia="Verdana" w:hAnsi="Verdana" w:cs="Verdana"/>
        </w:rPr>
        <w:t>volume up high</w:t>
      </w:r>
      <w:r w:rsidR="00EF68FA">
        <w:rPr>
          <w:rFonts w:ascii="Verdana" w:eastAsia="Verdana" w:hAnsi="Verdana" w:cs="Verdana"/>
        </w:rPr>
        <w:t xml:space="preserve">, upset other residents when leaving or returning to the flat late at night. </w:t>
      </w:r>
      <w:r w:rsidRPr="00CB6F41">
        <w:rPr>
          <w:rFonts w:ascii="Verdana" w:eastAsia="Verdana" w:hAnsi="Verdana" w:cs="Verdana"/>
        </w:rPr>
        <w:t>Play</w:t>
      </w:r>
      <w:r w:rsidR="00EF68FA">
        <w:rPr>
          <w:rFonts w:ascii="Verdana" w:eastAsia="Verdana" w:hAnsi="Verdana" w:cs="Verdana"/>
        </w:rPr>
        <w:t xml:space="preserve"> </w:t>
      </w:r>
      <w:r w:rsidRPr="00CB6F41">
        <w:rPr>
          <w:rFonts w:ascii="Verdana" w:eastAsia="Verdana" w:hAnsi="Verdana" w:cs="Verdana"/>
        </w:rPr>
        <w:t>music in the communal areas</w:t>
      </w:r>
      <w:r w:rsidR="00EF68FA">
        <w:rPr>
          <w:rFonts w:ascii="Verdana" w:eastAsia="Verdana" w:hAnsi="Verdana" w:cs="Verdana"/>
        </w:rPr>
        <w:t>.</w:t>
      </w:r>
    </w:p>
    <w:p w14:paraId="7492A464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Clog the drains / sewers by putting fat, cat litter, sanitary items or wet wipes down the toilet or drains. They clog very easily especially if fat is disposed of in this way.</w:t>
      </w:r>
    </w:p>
    <w:p w14:paraId="38B98D76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Leave children’s buggies or bicycles or anything else in the stairwells as this contravenes the Fire Regulations.</w:t>
      </w:r>
    </w:p>
    <w:p w14:paraId="4174A888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Allow dogs.</w:t>
      </w:r>
    </w:p>
    <w:p w14:paraId="337239E1" w14:textId="77777777" w:rsidR="000C3430" w:rsidRPr="00CB6F41" w:rsidRDefault="00000000">
      <w:pPr>
        <w:numPr>
          <w:ilvl w:val="0"/>
          <w:numId w:val="2"/>
        </w:numPr>
        <w:rPr>
          <w:rFonts w:ascii="Verdana" w:eastAsia="Verdana" w:hAnsi="Verdana" w:cs="Verdana"/>
        </w:rPr>
      </w:pPr>
      <w:r w:rsidRPr="00CB6F41">
        <w:rPr>
          <w:rFonts w:ascii="Verdana" w:eastAsia="Verdana" w:hAnsi="Verdana" w:cs="Verdana"/>
        </w:rPr>
        <w:t>Allow children to play unless supervised.</w:t>
      </w:r>
    </w:p>
    <w:p w14:paraId="402349B9" w14:textId="77777777" w:rsidR="000C3430" w:rsidRPr="00CB6F41" w:rsidRDefault="000C3430">
      <w:pPr>
        <w:rPr>
          <w:rFonts w:ascii="Verdana" w:eastAsia="Verdana" w:hAnsi="Verdana" w:cs="Verdana"/>
        </w:rPr>
      </w:pPr>
    </w:p>
    <w:p w14:paraId="24D02802" w14:textId="77777777" w:rsidR="000C3430" w:rsidRPr="00CB6F41" w:rsidRDefault="000C3430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C3430" w:rsidRPr="00CB6F41" w14:paraId="1337F61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9A7C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>Signature of owner</w:t>
            </w:r>
          </w:p>
          <w:p w14:paraId="4C826502" w14:textId="77777777" w:rsidR="000C3430" w:rsidRPr="00CB6F41" w:rsidRDefault="000C343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CF06" w14:textId="77777777" w:rsidR="000C3430" w:rsidRPr="00CB6F41" w:rsidRDefault="000C343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C3430" w:rsidRPr="00CB6F41" w14:paraId="3EAB36E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B32F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 xml:space="preserve">Signature of Tenant (1)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0251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>Print Tenant’s name</w:t>
            </w:r>
          </w:p>
          <w:p w14:paraId="7C78BB02" w14:textId="77777777" w:rsidR="000C3430" w:rsidRPr="00CB6F41" w:rsidRDefault="000C343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0C3430" w:rsidRPr="00CB6F41" w14:paraId="37E4A05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3CC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 xml:space="preserve">Signature of Tenant (2)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9A10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>Print Tenant’s name</w:t>
            </w:r>
          </w:p>
          <w:p w14:paraId="068859AB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C3430" w:rsidRPr="00CB6F41" w14:paraId="205AF82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957B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 xml:space="preserve">Signature of Tenant (3) </w:t>
            </w:r>
          </w:p>
          <w:p w14:paraId="6DBB6207" w14:textId="77777777" w:rsidR="000C3430" w:rsidRPr="00CB6F41" w:rsidRDefault="000C343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9849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>Print Tenant’s name</w:t>
            </w:r>
          </w:p>
        </w:tc>
      </w:tr>
      <w:tr w:rsidR="000C3430" w:rsidRPr="00CB6F41" w14:paraId="3CA1D5A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66AE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 xml:space="preserve">Signature of Tenant (4) </w:t>
            </w:r>
          </w:p>
          <w:p w14:paraId="674311FA" w14:textId="77777777" w:rsidR="000C3430" w:rsidRPr="00CB6F41" w:rsidRDefault="000C343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8BD3" w14:textId="77777777" w:rsidR="000C3430" w:rsidRPr="00CB6F41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CB6F41">
              <w:rPr>
                <w:rFonts w:ascii="Verdana" w:eastAsia="Verdana" w:hAnsi="Verdana" w:cs="Verdana"/>
              </w:rPr>
              <w:t>Print Tenant’s name</w:t>
            </w:r>
          </w:p>
        </w:tc>
      </w:tr>
    </w:tbl>
    <w:p w14:paraId="278D28E7" w14:textId="77777777" w:rsidR="000C3430" w:rsidRPr="00CB6F41" w:rsidRDefault="000C3430">
      <w:pPr>
        <w:jc w:val="center"/>
        <w:rPr>
          <w:rFonts w:ascii="Verdana" w:eastAsia="Verdana" w:hAnsi="Verdana" w:cs="Verdana"/>
        </w:rPr>
      </w:pPr>
    </w:p>
    <w:p w14:paraId="6D66EE39" w14:textId="77777777" w:rsidR="000C3430" w:rsidRPr="00CB6F41" w:rsidRDefault="00000000">
      <w:pPr>
        <w:jc w:val="center"/>
        <w:rPr>
          <w:rFonts w:ascii="Verdana" w:eastAsia="Verdana" w:hAnsi="Verdana" w:cs="Verdana"/>
          <w:b/>
        </w:rPr>
      </w:pPr>
      <w:r w:rsidRPr="00CB6F41">
        <w:rPr>
          <w:rFonts w:ascii="Verdana" w:eastAsia="Verdana" w:hAnsi="Verdana" w:cs="Verdana"/>
          <w:b/>
        </w:rPr>
        <w:t>NOTE The flat is regulated by Tower Hamlets additional licensing scheme and the landlord must register with them before letting to ‘flat shares’ with 3 or more people who are not all living as one household.</w:t>
      </w:r>
    </w:p>
    <w:p w14:paraId="20CDE56A" w14:textId="77777777" w:rsidR="000C3430" w:rsidRPr="00CB6F41" w:rsidRDefault="000C3430">
      <w:pPr>
        <w:jc w:val="center"/>
        <w:rPr>
          <w:rFonts w:ascii="Verdana" w:eastAsia="Verdana" w:hAnsi="Verdana" w:cs="Verdana"/>
          <w:b/>
        </w:rPr>
      </w:pPr>
    </w:p>
    <w:p w14:paraId="15E6CBC8" w14:textId="77777777" w:rsidR="000C3430" w:rsidRPr="00CB6F41" w:rsidRDefault="00000000">
      <w:pPr>
        <w:jc w:val="center"/>
        <w:rPr>
          <w:rFonts w:ascii="Verdana" w:eastAsia="Verdana" w:hAnsi="Verdana" w:cs="Verdana"/>
          <w:b/>
        </w:rPr>
      </w:pPr>
      <w:r w:rsidRPr="00CB6F41">
        <w:rPr>
          <w:rFonts w:ascii="Verdana" w:eastAsia="Verdana" w:hAnsi="Verdana" w:cs="Verdana"/>
          <w:b/>
        </w:rPr>
        <w:t>This form must be submitted with Form B or C and returned to:</w:t>
      </w:r>
    </w:p>
    <w:p w14:paraId="52247AF1" w14:textId="77777777" w:rsidR="000C3430" w:rsidRPr="00CB6F41" w:rsidRDefault="000C3430">
      <w:pPr>
        <w:jc w:val="center"/>
        <w:rPr>
          <w:rFonts w:ascii="Verdana" w:eastAsia="Verdana" w:hAnsi="Verdana" w:cs="Verdana"/>
          <w:b/>
        </w:rPr>
      </w:pPr>
    </w:p>
    <w:p w14:paraId="5C8D4DBC" w14:textId="77777777" w:rsidR="000C3430" w:rsidRPr="00CB6F41" w:rsidRDefault="00000000">
      <w:pPr>
        <w:jc w:val="center"/>
        <w:rPr>
          <w:rFonts w:ascii="Verdana" w:eastAsia="Verdana" w:hAnsi="Verdana" w:cs="Verdana"/>
          <w:b/>
        </w:rPr>
      </w:pPr>
      <w:r w:rsidRPr="00CB6F41">
        <w:rPr>
          <w:rFonts w:ascii="Verdana" w:eastAsia="Verdana" w:hAnsi="Verdana" w:cs="Verdana"/>
          <w:b/>
        </w:rPr>
        <w:t>61 Regent Square London. E3 3HW</w:t>
      </w:r>
    </w:p>
    <w:p w14:paraId="33EC0B80" w14:textId="77777777" w:rsidR="000C3430" w:rsidRPr="00CB6F41" w:rsidRDefault="000C3430">
      <w:pPr>
        <w:jc w:val="center"/>
        <w:rPr>
          <w:rFonts w:ascii="Verdana" w:eastAsia="Verdana" w:hAnsi="Verdana" w:cs="Verdana"/>
          <w:b/>
        </w:rPr>
      </w:pPr>
    </w:p>
    <w:sectPr w:rsidR="000C3430" w:rsidRPr="00CB6F4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59C0" w14:textId="77777777" w:rsidR="003156FF" w:rsidRDefault="003156FF">
      <w:pPr>
        <w:spacing w:line="240" w:lineRule="auto"/>
      </w:pPr>
      <w:r>
        <w:separator/>
      </w:r>
    </w:p>
  </w:endnote>
  <w:endnote w:type="continuationSeparator" w:id="0">
    <w:p w14:paraId="3BC78CB3" w14:textId="77777777" w:rsidR="003156FF" w:rsidRDefault="00315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77C2" w14:textId="77777777" w:rsidR="000C3430" w:rsidRDefault="00000000">
    <w:pPr>
      <w:jc w:val="center"/>
      <w:rPr>
        <w:b/>
        <w:sz w:val="16"/>
        <w:szCs w:val="16"/>
      </w:rPr>
    </w:pPr>
    <w:hyperlink r:id="rId1">
      <w:r>
        <w:rPr>
          <w:b/>
          <w:color w:val="1155CC"/>
          <w:sz w:val="16"/>
          <w:szCs w:val="16"/>
          <w:u w:val="single"/>
        </w:rPr>
        <w:t>www.eastways.org</w:t>
      </w:r>
    </w:hyperlink>
    <w:r>
      <w:rPr>
        <w:b/>
        <w:sz w:val="16"/>
        <w:szCs w:val="16"/>
      </w:rPr>
      <w:t xml:space="preserve"> </w:t>
    </w:r>
  </w:p>
  <w:p w14:paraId="6ACB3074" w14:textId="77777777" w:rsidR="000C3430" w:rsidRDefault="00000000">
    <w:pPr>
      <w:jc w:val="center"/>
    </w:pPr>
    <w:r>
      <w:rPr>
        <w:b/>
        <w:sz w:val="16"/>
        <w:szCs w:val="16"/>
      </w:rPr>
      <w:t>Registered Office: 42 Kings Hill Avenue, Kings Hill, West Malling, Kent ME19 4AJ Registered in London, England Registered no. 1023298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6B60" w14:textId="77777777" w:rsidR="003156FF" w:rsidRDefault="003156FF">
      <w:pPr>
        <w:spacing w:line="240" w:lineRule="auto"/>
      </w:pPr>
      <w:r>
        <w:separator/>
      </w:r>
    </w:p>
  </w:footnote>
  <w:footnote w:type="continuationSeparator" w:id="0">
    <w:p w14:paraId="355CFB91" w14:textId="77777777" w:rsidR="003156FF" w:rsidRDefault="00315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6DC2" w14:textId="77777777" w:rsidR="000C3430" w:rsidRDefault="00000000">
    <w:r>
      <w:rPr>
        <w:noProof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 wp14:anchorId="68FD80EB" wp14:editId="6047A1D8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18B994" w14:textId="77777777" w:rsidR="000C3430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smallCaps/>
                              <w:color w:val="FFFFFF"/>
                              <w:sz w:val="28"/>
                            </w:rPr>
                            <w:t>EASTWAYS MANAGEMENT LIMITED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4A2"/>
    <w:multiLevelType w:val="multilevel"/>
    <w:tmpl w:val="E22C6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A0085D"/>
    <w:multiLevelType w:val="multilevel"/>
    <w:tmpl w:val="0CDC9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D21170"/>
    <w:multiLevelType w:val="multilevel"/>
    <w:tmpl w:val="598CB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C427BA"/>
    <w:multiLevelType w:val="multilevel"/>
    <w:tmpl w:val="8F427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065156">
    <w:abstractNumId w:val="0"/>
  </w:num>
  <w:num w:numId="2" w16cid:durableId="749035907">
    <w:abstractNumId w:val="1"/>
  </w:num>
  <w:num w:numId="3" w16cid:durableId="1311058670">
    <w:abstractNumId w:val="2"/>
  </w:num>
  <w:num w:numId="4" w16cid:durableId="13942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30"/>
    <w:rsid w:val="000C3430"/>
    <w:rsid w:val="002A04AA"/>
    <w:rsid w:val="002F6D22"/>
    <w:rsid w:val="003156FF"/>
    <w:rsid w:val="00372038"/>
    <w:rsid w:val="0046237D"/>
    <w:rsid w:val="00594FB1"/>
    <w:rsid w:val="008C16D3"/>
    <w:rsid w:val="00CB6F41"/>
    <w:rsid w:val="00E82D83"/>
    <w:rsid w:val="00EA3CA4"/>
    <w:rsid w:val="00EF0D46"/>
    <w:rsid w:val="00EF68FA"/>
    <w:rsid w:val="00F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113A"/>
  <w15:docId w15:val="{3FEB5468-672B-4292-A20D-9A663D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F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werhamlets.gov.uk/lgnl/environment_and_waste/recycling_and_waste/Bulky_waste/bulky_wast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a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Rigg</dc:creator>
  <cp:lastModifiedBy>Kevin Rigg</cp:lastModifiedBy>
  <cp:revision>6</cp:revision>
  <dcterms:created xsi:type="dcterms:W3CDTF">2023-11-16T17:42:00Z</dcterms:created>
  <dcterms:modified xsi:type="dcterms:W3CDTF">2023-11-24T16:04:00Z</dcterms:modified>
</cp:coreProperties>
</file>